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5FFC" w14:textId="2B46EA0C" w:rsidR="00C7798C" w:rsidRPr="00B13523" w:rsidRDefault="00D44413" w:rsidP="00DB0BED">
      <w:pPr>
        <w:spacing w:after="0"/>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4EB0795A" wp14:editId="632C599E">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r w:rsidR="00125A88">
        <w:rPr>
          <w:rFonts w:ascii="Arial" w:hAnsi="Arial" w:cs="Arial"/>
          <w:b/>
          <w:noProof/>
          <w:sz w:val="44"/>
        </w:rPr>
        <w:br/>
        <w:t>CONFIDENTIAL</w:t>
      </w:r>
      <w:r w:rsidR="00426A8F" w:rsidRPr="007E2254">
        <w:rPr>
          <w:rFonts w:ascii="Arial" w:hAnsi="Arial" w:cs="Arial"/>
          <w:b/>
          <w:noProof/>
          <w:sz w:val="36"/>
        </w:rPr>
        <w:br/>
      </w:r>
      <w:r w:rsidR="00847A53">
        <w:rPr>
          <w:rFonts w:ascii="Arial" w:hAnsi="Arial" w:cs="Arial"/>
          <w:b/>
          <w:noProof/>
          <w:sz w:val="36"/>
        </w:rPr>
        <w:t>INFORM</w:t>
      </w:r>
      <w:r w:rsidR="00A04B37">
        <w:rPr>
          <w:rFonts w:ascii="Arial" w:hAnsi="Arial" w:cs="Arial"/>
          <w:b/>
          <w:noProof/>
          <w:sz w:val="36"/>
        </w:rPr>
        <w:t>ATION</w:t>
      </w:r>
      <w:r w:rsidR="00C7798C" w:rsidRPr="00E730D6">
        <w:rPr>
          <w:rFonts w:ascii="Arial" w:hAnsi="Arial" w:cs="Arial"/>
          <w:b/>
          <w:noProof/>
          <w:sz w:val="36"/>
        </w:rPr>
        <w:t xml:space="preserve"> REPORT</w:t>
      </w:r>
    </w:p>
    <w:p w14:paraId="455DFB12" w14:textId="77777777" w:rsidR="00C7798C" w:rsidRDefault="00C7798C">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14:paraId="04A47D41" w14:textId="77777777" w:rsidTr="00702B0D">
        <w:tc>
          <w:tcPr>
            <w:tcW w:w="3145" w:type="dxa"/>
            <w:vAlign w:val="center"/>
          </w:tcPr>
          <w:p w14:paraId="5E88140D" w14:textId="77777777" w:rsidR="00C7798C" w:rsidRPr="00E730D6" w:rsidRDefault="00C7798C">
            <w:pPr>
              <w:rPr>
                <w:rFonts w:ascii="Arial" w:hAnsi="Arial" w:cs="Arial"/>
                <w:b/>
                <w:sz w:val="24"/>
              </w:rPr>
            </w:pPr>
            <w:r w:rsidRPr="00E730D6">
              <w:rPr>
                <w:rFonts w:ascii="Arial" w:hAnsi="Arial" w:cs="Arial"/>
                <w:b/>
                <w:sz w:val="24"/>
              </w:rPr>
              <w:t>TO:</w:t>
            </w:r>
          </w:p>
        </w:tc>
        <w:tc>
          <w:tcPr>
            <w:tcW w:w="6205" w:type="dxa"/>
          </w:tcPr>
          <w:p w14:paraId="2576308F" w14:textId="77777777" w:rsidR="00C7798C" w:rsidRPr="00E730D6" w:rsidRDefault="00C7798C">
            <w:pPr>
              <w:rPr>
                <w:rFonts w:ascii="Arial" w:hAnsi="Arial" w:cs="Arial"/>
                <w:sz w:val="24"/>
              </w:rPr>
            </w:pPr>
            <w:r w:rsidRPr="00E730D6">
              <w:rPr>
                <w:rFonts w:ascii="Arial" w:hAnsi="Arial" w:cs="Arial"/>
                <w:sz w:val="24"/>
              </w:rPr>
              <w:t>Chair and Members</w:t>
            </w:r>
          </w:p>
          <w:p w14:paraId="42319EC3" w14:textId="6FC35984" w:rsidR="00C7798C" w:rsidRPr="00E730D6" w:rsidRDefault="00C7798C">
            <w:pPr>
              <w:rPr>
                <w:rFonts w:ascii="Arial" w:hAnsi="Arial" w:cs="Arial"/>
                <w:sz w:val="24"/>
              </w:rPr>
            </w:pPr>
            <w:r w:rsidRPr="00E730D6">
              <w:rPr>
                <w:rFonts w:ascii="Arial" w:hAnsi="Arial" w:cs="Arial"/>
                <w:sz w:val="24"/>
              </w:rPr>
              <w:t>Hamilton Police Service Board</w:t>
            </w:r>
          </w:p>
        </w:tc>
      </w:tr>
      <w:tr w:rsidR="00C7798C" w:rsidRPr="00E730D6" w14:paraId="5444A35E" w14:textId="77777777" w:rsidTr="00702B0D">
        <w:tc>
          <w:tcPr>
            <w:tcW w:w="3145" w:type="dxa"/>
            <w:vAlign w:val="center"/>
          </w:tcPr>
          <w:p w14:paraId="3565D4F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tcPr>
          <w:p w14:paraId="1EA8FED3" w14:textId="07251DD0" w:rsidR="00C7798C" w:rsidRPr="00E730D6" w:rsidRDefault="009A00AE">
            <w:pPr>
              <w:rPr>
                <w:rFonts w:ascii="Arial" w:hAnsi="Arial" w:cs="Arial"/>
                <w:sz w:val="24"/>
              </w:rPr>
            </w:pPr>
            <w:r>
              <w:rPr>
                <w:rFonts w:ascii="Arial" w:hAnsi="Arial" w:cs="Arial"/>
                <w:sz w:val="24"/>
              </w:rPr>
              <w:t>June 26, 2025</w:t>
            </w:r>
          </w:p>
        </w:tc>
      </w:tr>
      <w:tr w:rsidR="00C7798C" w:rsidRPr="00E730D6" w14:paraId="7047FAA8" w14:textId="77777777" w:rsidTr="00702B0D">
        <w:tc>
          <w:tcPr>
            <w:tcW w:w="3145" w:type="dxa"/>
            <w:vAlign w:val="center"/>
          </w:tcPr>
          <w:p w14:paraId="683C2842" w14:textId="77777777" w:rsidR="00C7798C" w:rsidRPr="00E730D6" w:rsidRDefault="00C7798C">
            <w:pPr>
              <w:rPr>
                <w:rFonts w:ascii="Arial" w:hAnsi="Arial" w:cs="Arial"/>
                <w:b/>
                <w:sz w:val="24"/>
              </w:rPr>
            </w:pPr>
            <w:r w:rsidRPr="00E730D6">
              <w:rPr>
                <w:rFonts w:ascii="Arial" w:hAnsi="Arial" w:cs="Arial"/>
                <w:b/>
                <w:sz w:val="24"/>
              </w:rPr>
              <w:t>SUBJECT:</w:t>
            </w:r>
          </w:p>
        </w:tc>
        <w:tc>
          <w:tcPr>
            <w:tcW w:w="6205" w:type="dxa"/>
          </w:tcPr>
          <w:p w14:paraId="15D45839" w14:textId="49B0105A" w:rsidR="00C7798C" w:rsidRDefault="00F93890" w:rsidP="00F94FD0">
            <w:pPr>
              <w:rPr>
                <w:rFonts w:ascii="Arial" w:hAnsi="Arial" w:cs="Arial"/>
                <w:sz w:val="24"/>
              </w:rPr>
            </w:pPr>
            <w:r>
              <w:rPr>
                <w:rFonts w:ascii="Arial" w:hAnsi="Arial" w:cs="Arial"/>
                <w:sz w:val="24"/>
              </w:rPr>
              <w:t>Special Investigation Unit’s Probe into the</w:t>
            </w:r>
            <w:r w:rsidR="00633F1E">
              <w:rPr>
                <w:rFonts w:ascii="Arial" w:hAnsi="Arial" w:cs="Arial"/>
                <w:sz w:val="24"/>
              </w:rPr>
              <w:t xml:space="preserve"> death of P.K</w:t>
            </w:r>
            <w:r>
              <w:rPr>
                <w:rFonts w:ascii="Arial" w:hAnsi="Arial" w:cs="Arial"/>
                <w:sz w:val="24"/>
              </w:rPr>
              <w:t>.</w:t>
            </w:r>
          </w:p>
          <w:p w14:paraId="66E16762" w14:textId="3ABA8FF6" w:rsidR="00F93890" w:rsidRPr="00C6363C" w:rsidRDefault="00633F1E" w:rsidP="00F94FD0">
            <w:pPr>
              <w:rPr>
                <w:rFonts w:ascii="Arial" w:hAnsi="Arial" w:cs="Arial"/>
                <w:sz w:val="24"/>
              </w:rPr>
            </w:pPr>
            <w:r>
              <w:rPr>
                <w:rFonts w:ascii="Arial" w:hAnsi="Arial" w:cs="Arial"/>
                <w:sz w:val="24"/>
              </w:rPr>
              <w:t>SIU File 24-OCD-296</w:t>
            </w:r>
          </w:p>
        </w:tc>
      </w:tr>
      <w:tr w:rsidR="00C7798C" w:rsidRPr="00E730D6" w14:paraId="15712A83" w14:textId="77777777" w:rsidTr="00702B0D">
        <w:tc>
          <w:tcPr>
            <w:tcW w:w="3145" w:type="dxa"/>
            <w:vAlign w:val="center"/>
          </w:tcPr>
          <w:p w14:paraId="1467F9FE" w14:textId="77777777"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14:paraId="73EE3B98" w14:textId="3AD8830C" w:rsidR="00C7798C" w:rsidRPr="00E730D6" w:rsidRDefault="00CC5270" w:rsidP="003B7350">
            <w:pPr>
              <w:rPr>
                <w:rFonts w:ascii="Arial" w:hAnsi="Arial" w:cs="Arial"/>
                <w:sz w:val="24"/>
              </w:rPr>
            </w:pPr>
            <w:r>
              <w:rPr>
                <w:rFonts w:ascii="Arial" w:hAnsi="Arial" w:cs="Arial"/>
                <w:sz w:val="24"/>
              </w:rPr>
              <w:t>25-</w:t>
            </w:r>
            <w:r w:rsidR="003B7350">
              <w:rPr>
                <w:rFonts w:ascii="Arial" w:hAnsi="Arial" w:cs="Arial"/>
                <w:sz w:val="24"/>
              </w:rPr>
              <w:t>043</w:t>
            </w:r>
          </w:p>
        </w:tc>
      </w:tr>
      <w:tr w:rsidR="00056A99" w:rsidRPr="00E730D6" w14:paraId="4118CF9C" w14:textId="77777777" w:rsidTr="00702B0D">
        <w:tc>
          <w:tcPr>
            <w:tcW w:w="3145" w:type="dxa"/>
            <w:vAlign w:val="center"/>
          </w:tcPr>
          <w:p w14:paraId="5BEEC56E" w14:textId="2CF48C89" w:rsidR="00056A99" w:rsidRPr="00E730D6" w:rsidRDefault="00056A99">
            <w:pPr>
              <w:rPr>
                <w:rFonts w:ascii="Arial" w:hAnsi="Arial" w:cs="Arial"/>
                <w:b/>
                <w:sz w:val="24"/>
              </w:rPr>
            </w:pPr>
            <w:r>
              <w:rPr>
                <w:rFonts w:ascii="Arial" w:hAnsi="Arial" w:cs="Arial"/>
                <w:b/>
                <w:sz w:val="24"/>
              </w:rPr>
              <w:t>PRESENTATION:</w:t>
            </w:r>
          </w:p>
        </w:tc>
        <w:tc>
          <w:tcPr>
            <w:tcW w:w="6205" w:type="dxa"/>
          </w:tcPr>
          <w:p w14:paraId="7218EBBE" w14:textId="62932DB0" w:rsidR="00056A99" w:rsidRDefault="00993A76">
            <w:pPr>
              <w:rPr>
                <w:rFonts w:ascii="Arial" w:hAnsi="Arial" w:cs="Arial"/>
                <w:sz w:val="24"/>
              </w:rPr>
            </w:pPr>
            <w:r>
              <w:rPr>
                <w:rFonts w:ascii="Arial" w:hAnsi="Arial" w:cs="Arial"/>
                <w:sz w:val="24"/>
              </w:rPr>
              <w:t>No</w:t>
            </w:r>
          </w:p>
        </w:tc>
      </w:tr>
      <w:tr w:rsidR="00056A99" w:rsidRPr="00E730D6" w14:paraId="682F8063" w14:textId="77777777" w:rsidTr="00702B0D">
        <w:tc>
          <w:tcPr>
            <w:tcW w:w="3145" w:type="dxa"/>
            <w:vAlign w:val="center"/>
          </w:tcPr>
          <w:p w14:paraId="791CBD90" w14:textId="3F8DDE07" w:rsidR="00056A99" w:rsidRPr="00E730D6" w:rsidRDefault="00056A99">
            <w:pPr>
              <w:rPr>
                <w:rFonts w:ascii="Arial" w:hAnsi="Arial" w:cs="Arial"/>
                <w:b/>
                <w:sz w:val="24"/>
              </w:rPr>
            </w:pPr>
            <w:r>
              <w:rPr>
                <w:rFonts w:ascii="Arial" w:hAnsi="Arial" w:cs="Arial"/>
                <w:b/>
                <w:sz w:val="24"/>
              </w:rPr>
              <w:t>OUTSTANDING BUSINESS ITEM:</w:t>
            </w:r>
          </w:p>
        </w:tc>
        <w:tc>
          <w:tcPr>
            <w:tcW w:w="6205" w:type="dxa"/>
          </w:tcPr>
          <w:p w14:paraId="5EA12C5B" w14:textId="332D06C8" w:rsidR="00056A99" w:rsidRDefault="00993A76">
            <w:pPr>
              <w:rPr>
                <w:rFonts w:ascii="Arial" w:hAnsi="Arial" w:cs="Arial"/>
                <w:sz w:val="24"/>
              </w:rPr>
            </w:pPr>
            <w:r>
              <w:rPr>
                <w:rFonts w:ascii="Arial" w:hAnsi="Arial" w:cs="Arial"/>
                <w:sz w:val="24"/>
              </w:rPr>
              <w:t>No</w:t>
            </w:r>
          </w:p>
        </w:tc>
      </w:tr>
      <w:tr w:rsidR="00C7798C" w:rsidRPr="00E730D6" w14:paraId="54A33BDC" w14:textId="77777777" w:rsidTr="00702B0D">
        <w:tc>
          <w:tcPr>
            <w:tcW w:w="3145" w:type="dxa"/>
            <w:vAlign w:val="center"/>
          </w:tcPr>
          <w:p w14:paraId="31789378"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79BE3F0D" w14:textId="77777777" w:rsidR="00C7798C" w:rsidRPr="00E730D6" w:rsidRDefault="00C7798C">
            <w:pPr>
              <w:rPr>
                <w:rFonts w:ascii="Arial" w:hAnsi="Arial" w:cs="Arial"/>
                <w:b/>
                <w:sz w:val="24"/>
              </w:rPr>
            </w:pPr>
          </w:p>
          <w:p w14:paraId="1285DB79" w14:textId="77777777" w:rsidR="00C7798C" w:rsidRPr="00E730D6" w:rsidRDefault="00C7798C">
            <w:pPr>
              <w:rPr>
                <w:rFonts w:ascii="Arial" w:hAnsi="Arial" w:cs="Arial"/>
                <w:b/>
                <w:sz w:val="24"/>
              </w:rPr>
            </w:pPr>
            <w:r w:rsidRPr="00E730D6">
              <w:rPr>
                <w:rFonts w:ascii="Arial" w:hAnsi="Arial" w:cs="Arial"/>
                <w:b/>
                <w:sz w:val="24"/>
              </w:rPr>
              <w:t>SIGNATURE:</w:t>
            </w:r>
          </w:p>
          <w:p w14:paraId="34416D46" w14:textId="77777777" w:rsidR="00C7798C" w:rsidRPr="00E730D6" w:rsidRDefault="00C7798C">
            <w:pPr>
              <w:rPr>
                <w:rFonts w:ascii="Arial" w:hAnsi="Arial" w:cs="Arial"/>
                <w:b/>
                <w:sz w:val="24"/>
              </w:rPr>
            </w:pPr>
          </w:p>
          <w:p w14:paraId="4D09F8BC" w14:textId="77777777" w:rsidR="00C7798C" w:rsidRPr="00E730D6" w:rsidRDefault="00C7798C">
            <w:pPr>
              <w:rPr>
                <w:rFonts w:ascii="Arial" w:hAnsi="Arial" w:cs="Arial"/>
                <w:b/>
                <w:sz w:val="24"/>
              </w:rPr>
            </w:pPr>
          </w:p>
        </w:tc>
        <w:tc>
          <w:tcPr>
            <w:tcW w:w="6205" w:type="dxa"/>
          </w:tcPr>
          <w:p w14:paraId="12982A21" w14:textId="77777777" w:rsidR="00C7798C" w:rsidRDefault="00C92903">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7294E1B1" w14:textId="4E61E581" w:rsidR="00A9133B" w:rsidRPr="00E730D6" w:rsidRDefault="00806965">
            <w:pPr>
              <w:rPr>
                <w:rFonts w:ascii="Arial" w:hAnsi="Arial" w:cs="Arial"/>
                <w:sz w:val="24"/>
              </w:rPr>
            </w:pPr>
            <w:r>
              <w:rPr>
                <w:noProof/>
                <w:lang w:val="en-CA" w:eastAsia="en-CA"/>
              </w:rPr>
              <w:drawing>
                <wp:inline distT="0" distB="0" distL="0" distR="0" wp14:anchorId="1CAE5A89" wp14:editId="67D3F6FC">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bookmarkStart w:id="0" w:name="_GoBack"/>
            <w:bookmarkEnd w:id="0"/>
          </w:p>
        </w:tc>
      </w:tr>
    </w:tbl>
    <w:p w14:paraId="526961E0" w14:textId="1064C26A" w:rsidR="00BB2577" w:rsidRDefault="00BB2577" w:rsidP="0037765B">
      <w:pPr>
        <w:jc w:val="both"/>
        <w:rPr>
          <w:rFonts w:ascii="Arial" w:hAnsi="Arial" w:cs="Arial"/>
          <w:bCs/>
          <w:sz w:val="24"/>
        </w:rPr>
      </w:pPr>
    </w:p>
    <w:p w14:paraId="7BEB001C" w14:textId="54C22AF6" w:rsidR="00396BEF" w:rsidRPr="00396BEF" w:rsidRDefault="00396BEF" w:rsidP="00396BEF">
      <w:pPr>
        <w:jc w:val="both"/>
        <w:rPr>
          <w:rFonts w:ascii="Arial" w:hAnsi="Arial" w:cs="Arial"/>
          <w:b/>
          <w:bCs/>
          <w:sz w:val="24"/>
        </w:rPr>
      </w:pPr>
      <w:r w:rsidRPr="00396BEF">
        <w:rPr>
          <w:rFonts w:ascii="Arial" w:hAnsi="Arial" w:cs="Arial"/>
          <w:b/>
          <w:bCs/>
          <w:sz w:val="24"/>
        </w:rPr>
        <w:t>B</w:t>
      </w:r>
      <w:r>
        <w:rPr>
          <w:rFonts w:ascii="Arial" w:hAnsi="Arial" w:cs="Arial"/>
          <w:b/>
          <w:bCs/>
          <w:sz w:val="24"/>
        </w:rPr>
        <w:t>ACKGROUND</w:t>
      </w:r>
    </w:p>
    <w:p w14:paraId="04830CD7" w14:textId="3C230F75" w:rsidR="00396BEF" w:rsidRPr="00BB2577" w:rsidRDefault="00396BEF" w:rsidP="0037765B">
      <w:pPr>
        <w:jc w:val="both"/>
        <w:rPr>
          <w:rFonts w:ascii="Arial" w:hAnsi="Arial" w:cs="Arial"/>
          <w:bCs/>
          <w:sz w:val="24"/>
        </w:rPr>
      </w:pPr>
      <w:r w:rsidRPr="00396BEF">
        <w:rPr>
          <w:rFonts w:ascii="Arial" w:hAnsi="Arial" w:cs="Arial"/>
          <w:bCs/>
          <w:sz w:val="24"/>
        </w:rPr>
        <w:t>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as they related to the incident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14:paraId="450E792F" w14:textId="0790CA29" w:rsidR="009009AD" w:rsidRDefault="00C7798C" w:rsidP="0037765B">
      <w:pPr>
        <w:jc w:val="both"/>
        <w:rPr>
          <w:rFonts w:ascii="Arial" w:hAnsi="Arial" w:cs="Arial"/>
          <w:b/>
          <w:sz w:val="24"/>
        </w:rPr>
      </w:pPr>
      <w:r w:rsidRPr="00E730D6">
        <w:rPr>
          <w:rFonts w:ascii="Arial" w:hAnsi="Arial" w:cs="Arial"/>
          <w:b/>
          <w:sz w:val="24"/>
        </w:rPr>
        <w:t xml:space="preserve">EXECUTIVE </w:t>
      </w:r>
      <w:r w:rsidR="009009AD" w:rsidRPr="00E730D6">
        <w:rPr>
          <w:rFonts w:ascii="Arial" w:hAnsi="Arial" w:cs="Arial"/>
          <w:b/>
          <w:sz w:val="24"/>
        </w:rPr>
        <w:t>SUMMARY</w:t>
      </w:r>
    </w:p>
    <w:p w14:paraId="58A83B6B" w14:textId="6A5AA8B2" w:rsidR="003D2DB0" w:rsidRPr="00DC4758" w:rsidRDefault="003D2DB0" w:rsidP="0037765B">
      <w:pPr>
        <w:jc w:val="both"/>
        <w:rPr>
          <w:rFonts w:ascii="Arial" w:hAnsi="Arial" w:cs="Arial"/>
          <w:sz w:val="24"/>
        </w:rPr>
      </w:pPr>
      <w:r w:rsidRPr="00DC4758">
        <w:rPr>
          <w:rFonts w:ascii="Arial" w:hAnsi="Arial" w:cs="Arial"/>
          <w:sz w:val="24"/>
        </w:rPr>
        <w:t xml:space="preserve">On </w:t>
      </w:r>
      <w:r w:rsidR="00C71B4C" w:rsidRPr="00DC4758">
        <w:rPr>
          <w:rFonts w:ascii="Arial" w:hAnsi="Arial" w:cs="Arial"/>
          <w:sz w:val="24"/>
        </w:rPr>
        <w:t>July 8</w:t>
      </w:r>
      <w:r w:rsidRPr="00DC4758">
        <w:rPr>
          <w:rFonts w:ascii="Arial" w:hAnsi="Arial" w:cs="Arial"/>
          <w:sz w:val="24"/>
        </w:rPr>
        <w:t>, 2024, Hamilton Police Service</w:t>
      </w:r>
      <w:r w:rsidR="009A00AE" w:rsidRPr="00DC4758">
        <w:rPr>
          <w:rFonts w:ascii="Arial" w:hAnsi="Arial" w:cs="Arial"/>
          <w:sz w:val="24"/>
        </w:rPr>
        <w:t xml:space="preserve"> (HPS)</w:t>
      </w:r>
      <w:r w:rsidRPr="00DC4758">
        <w:rPr>
          <w:rFonts w:ascii="Arial" w:hAnsi="Arial" w:cs="Arial"/>
          <w:sz w:val="24"/>
        </w:rPr>
        <w:t xml:space="preserve"> officers </w:t>
      </w:r>
      <w:r w:rsidR="00C71B4C" w:rsidRPr="00DC4758">
        <w:rPr>
          <w:rFonts w:ascii="Arial" w:hAnsi="Arial" w:cs="Arial"/>
          <w:sz w:val="24"/>
        </w:rPr>
        <w:t>responded to a call for service to assist paramedics with an emergency medical call.  Officers assisted in restraining the Complainant while paramedics administered doses of sedation.  The Complainant went vital signs absent.  The Complainant was taken to hospital, but died on J</w:t>
      </w:r>
      <w:r w:rsidR="009F0FF4" w:rsidRPr="00DC4758">
        <w:rPr>
          <w:rFonts w:ascii="Arial" w:hAnsi="Arial" w:cs="Arial"/>
          <w:sz w:val="24"/>
        </w:rPr>
        <w:t>uly 10</w:t>
      </w:r>
      <w:r w:rsidR="00C71B4C" w:rsidRPr="00DC4758">
        <w:rPr>
          <w:rFonts w:ascii="Arial" w:hAnsi="Arial" w:cs="Arial"/>
          <w:sz w:val="24"/>
        </w:rPr>
        <w:t>, 2024. Due to officers assisting with the initial medical call, a</w:t>
      </w:r>
      <w:r w:rsidRPr="00DC4758">
        <w:rPr>
          <w:rFonts w:ascii="Arial" w:hAnsi="Arial" w:cs="Arial"/>
          <w:sz w:val="24"/>
        </w:rPr>
        <w:t xml:space="preserve"> notification of the Special Investigations Unit (SIU)</w:t>
      </w:r>
      <w:r w:rsidR="00C71B4C" w:rsidRPr="00DC4758">
        <w:rPr>
          <w:rFonts w:ascii="Arial" w:hAnsi="Arial" w:cs="Arial"/>
          <w:sz w:val="24"/>
        </w:rPr>
        <w:t xml:space="preserve"> was required</w:t>
      </w:r>
      <w:r w:rsidRPr="00DC4758">
        <w:rPr>
          <w:rFonts w:ascii="Arial" w:hAnsi="Arial" w:cs="Arial"/>
          <w:sz w:val="24"/>
        </w:rPr>
        <w:t>.   The SIU undertook an investigation; their determination was that the involved Officers were leg</w:t>
      </w:r>
      <w:r w:rsidR="009F0FF4" w:rsidRPr="00DC4758">
        <w:rPr>
          <w:rFonts w:ascii="Arial" w:hAnsi="Arial" w:cs="Arial"/>
          <w:sz w:val="24"/>
        </w:rPr>
        <w:t>ally justified in their actions (The SIU was notified of this incident three times</w:t>
      </w:r>
      <w:r w:rsidR="009A00AE" w:rsidRPr="00DC4758">
        <w:rPr>
          <w:rFonts w:ascii="Arial" w:hAnsi="Arial" w:cs="Arial"/>
          <w:sz w:val="24"/>
        </w:rPr>
        <w:t xml:space="preserve"> by the HPS</w:t>
      </w:r>
      <w:r w:rsidR="009F0FF4" w:rsidRPr="00DC4758">
        <w:rPr>
          <w:rFonts w:ascii="Arial" w:hAnsi="Arial" w:cs="Arial"/>
          <w:sz w:val="24"/>
        </w:rPr>
        <w:t xml:space="preserve"> and invoked their mandate only after a Regional Coroner classified the death as an “in custody death”).</w:t>
      </w:r>
    </w:p>
    <w:p w14:paraId="574BCA54" w14:textId="04D23922" w:rsidR="00F94FD0" w:rsidRDefault="00AD16CC" w:rsidP="006145DA">
      <w:pPr>
        <w:pStyle w:val="ListParagraph"/>
        <w:numPr>
          <w:ilvl w:val="0"/>
          <w:numId w:val="3"/>
        </w:numPr>
        <w:spacing w:after="240" w:line="240" w:lineRule="auto"/>
        <w:ind w:left="360"/>
        <w:contextualSpacing w:val="0"/>
        <w:rPr>
          <w:rFonts w:ascii="Arial" w:hAnsi="Arial" w:cs="Arial"/>
          <w:sz w:val="24"/>
          <w:szCs w:val="24"/>
        </w:rPr>
      </w:pPr>
      <w:r>
        <w:rPr>
          <w:rFonts w:ascii="Arial" w:hAnsi="Arial" w:cs="Arial"/>
          <w:sz w:val="24"/>
          <w:szCs w:val="24"/>
        </w:rPr>
        <w:lastRenderedPageBreak/>
        <w:t xml:space="preserve">On </w:t>
      </w:r>
      <w:r w:rsidR="009F0FF4">
        <w:rPr>
          <w:rFonts w:ascii="Arial" w:hAnsi="Arial" w:cs="Arial"/>
          <w:sz w:val="24"/>
          <w:szCs w:val="24"/>
        </w:rPr>
        <w:t>July 8</w:t>
      </w:r>
      <w:r>
        <w:rPr>
          <w:rFonts w:ascii="Arial" w:hAnsi="Arial" w:cs="Arial"/>
          <w:sz w:val="24"/>
          <w:szCs w:val="24"/>
        </w:rPr>
        <w:t>, 2024, Subject Official #1 (SO #1)</w:t>
      </w:r>
      <w:r w:rsidR="00017505">
        <w:rPr>
          <w:rFonts w:ascii="Arial" w:hAnsi="Arial" w:cs="Arial"/>
          <w:sz w:val="24"/>
          <w:szCs w:val="24"/>
        </w:rPr>
        <w:t xml:space="preserve">, </w:t>
      </w:r>
      <w:r>
        <w:rPr>
          <w:rFonts w:ascii="Arial" w:hAnsi="Arial" w:cs="Arial"/>
          <w:sz w:val="24"/>
          <w:szCs w:val="24"/>
        </w:rPr>
        <w:t>Subject Official #2 (SO #2)</w:t>
      </w:r>
      <w:r w:rsidR="00017505">
        <w:rPr>
          <w:rFonts w:ascii="Arial" w:hAnsi="Arial" w:cs="Arial"/>
          <w:sz w:val="24"/>
          <w:szCs w:val="24"/>
        </w:rPr>
        <w:t xml:space="preserve">, </w:t>
      </w:r>
      <w:r w:rsidR="009F0FF4">
        <w:rPr>
          <w:rFonts w:ascii="Arial" w:hAnsi="Arial" w:cs="Arial"/>
          <w:sz w:val="24"/>
          <w:szCs w:val="24"/>
        </w:rPr>
        <w:t xml:space="preserve">Subject Official #3 (SO #3), </w:t>
      </w:r>
      <w:r w:rsidR="00017505">
        <w:rPr>
          <w:rFonts w:ascii="Arial" w:hAnsi="Arial" w:cs="Arial"/>
          <w:sz w:val="24"/>
          <w:szCs w:val="24"/>
        </w:rPr>
        <w:t>Witness Official #</w:t>
      </w:r>
      <w:r w:rsidR="00672497">
        <w:rPr>
          <w:rFonts w:ascii="Arial" w:hAnsi="Arial" w:cs="Arial"/>
          <w:sz w:val="24"/>
          <w:szCs w:val="24"/>
        </w:rPr>
        <w:t>2</w:t>
      </w:r>
      <w:r w:rsidR="00017505">
        <w:rPr>
          <w:rFonts w:ascii="Arial" w:hAnsi="Arial" w:cs="Arial"/>
          <w:sz w:val="24"/>
          <w:szCs w:val="24"/>
        </w:rPr>
        <w:t xml:space="preserve"> (WO #</w:t>
      </w:r>
      <w:r w:rsidR="00672497">
        <w:rPr>
          <w:rFonts w:ascii="Arial" w:hAnsi="Arial" w:cs="Arial"/>
          <w:sz w:val="24"/>
          <w:szCs w:val="24"/>
        </w:rPr>
        <w:t>2</w:t>
      </w:r>
      <w:r w:rsidR="00017505">
        <w:rPr>
          <w:rFonts w:ascii="Arial" w:hAnsi="Arial" w:cs="Arial"/>
          <w:sz w:val="24"/>
          <w:szCs w:val="24"/>
        </w:rPr>
        <w:t xml:space="preserve">) </w:t>
      </w:r>
      <w:r w:rsidR="009F0FF4">
        <w:rPr>
          <w:rFonts w:ascii="Arial" w:hAnsi="Arial" w:cs="Arial"/>
          <w:sz w:val="24"/>
          <w:szCs w:val="24"/>
        </w:rPr>
        <w:t xml:space="preserve">and Witness #1 (W #1) </w:t>
      </w:r>
      <w:r w:rsidR="003C18C5">
        <w:rPr>
          <w:rFonts w:ascii="Arial" w:hAnsi="Arial" w:cs="Arial"/>
          <w:sz w:val="24"/>
          <w:szCs w:val="24"/>
        </w:rPr>
        <w:t>were dispatched to the</w:t>
      </w:r>
      <w:r>
        <w:rPr>
          <w:rFonts w:ascii="Arial" w:hAnsi="Arial" w:cs="Arial"/>
          <w:sz w:val="24"/>
          <w:szCs w:val="24"/>
        </w:rPr>
        <w:t xml:space="preserve"> </w:t>
      </w:r>
      <w:r w:rsidR="007F369E">
        <w:rPr>
          <w:rFonts w:ascii="Arial" w:hAnsi="Arial" w:cs="Arial"/>
          <w:sz w:val="24"/>
          <w:szCs w:val="24"/>
        </w:rPr>
        <w:t>Complainant’s</w:t>
      </w:r>
      <w:r w:rsidR="003C18C5">
        <w:rPr>
          <w:rFonts w:ascii="Arial" w:hAnsi="Arial" w:cs="Arial"/>
          <w:sz w:val="24"/>
          <w:szCs w:val="24"/>
        </w:rPr>
        <w:t xml:space="preserve"> residence</w:t>
      </w:r>
      <w:r>
        <w:rPr>
          <w:rFonts w:ascii="Arial" w:hAnsi="Arial" w:cs="Arial"/>
          <w:sz w:val="24"/>
          <w:szCs w:val="24"/>
        </w:rPr>
        <w:t xml:space="preserve"> </w:t>
      </w:r>
      <w:r w:rsidR="009F0FF4">
        <w:rPr>
          <w:rFonts w:ascii="Arial" w:hAnsi="Arial" w:cs="Arial"/>
          <w:sz w:val="24"/>
          <w:szCs w:val="24"/>
        </w:rPr>
        <w:t>to assist paramedics with an emergency medical call</w:t>
      </w:r>
      <w:r w:rsidR="004C7288">
        <w:rPr>
          <w:rFonts w:ascii="Arial" w:hAnsi="Arial" w:cs="Arial"/>
          <w:sz w:val="24"/>
          <w:szCs w:val="24"/>
        </w:rPr>
        <w:t>.  The Complainant appeared to be suffering from excited delirium.  Paramedics required police to restrain the Complainant so he could be</w:t>
      </w:r>
      <w:r w:rsidR="00526A78">
        <w:rPr>
          <w:rFonts w:ascii="Arial" w:hAnsi="Arial" w:cs="Arial"/>
          <w:sz w:val="24"/>
          <w:szCs w:val="24"/>
        </w:rPr>
        <w:t xml:space="preserve"> administered a sedative and</w:t>
      </w:r>
      <w:r w:rsidR="004C7288">
        <w:rPr>
          <w:rFonts w:ascii="Arial" w:hAnsi="Arial" w:cs="Arial"/>
          <w:sz w:val="24"/>
          <w:szCs w:val="24"/>
        </w:rPr>
        <w:t xml:space="preserve"> transported to hospital.</w:t>
      </w:r>
    </w:p>
    <w:p w14:paraId="6F27E15A" w14:textId="28E6D761" w:rsidR="00B52CB3" w:rsidRDefault="00AD16CC" w:rsidP="006145DA">
      <w:pPr>
        <w:pStyle w:val="ListParagraph"/>
        <w:numPr>
          <w:ilvl w:val="0"/>
          <w:numId w:val="3"/>
        </w:numPr>
        <w:spacing w:after="240" w:line="240" w:lineRule="auto"/>
        <w:ind w:left="360"/>
        <w:contextualSpacing w:val="0"/>
        <w:rPr>
          <w:rFonts w:ascii="Arial" w:hAnsi="Arial" w:cs="Arial"/>
          <w:sz w:val="24"/>
          <w:szCs w:val="24"/>
        </w:rPr>
      </w:pPr>
      <w:r>
        <w:rPr>
          <w:rFonts w:ascii="Arial" w:hAnsi="Arial" w:cs="Arial"/>
          <w:sz w:val="24"/>
          <w:szCs w:val="24"/>
        </w:rPr>
        <w:t xml:space="preserve">The Complainant </w:t>
      </w:r>
      <w:r w:rsidR="004C7288">
        <w:rPr>
          <w:rFonts w:ascii="Arial" w:hAnsi="Arial" w:cs="Arial"/>
          <w:sz w:val="24"/>
          <w:szCs w:val="24"/>
        </w:rPr>
        <w:t>was administered a sedative but</w:t>
      </w:r>
      <w:r w:rsidR="00214942">
        <w:rPr>
          <w:rFonts w:ascii="Arial" w:hAnsi="Arial" w:cs="Arial"/>
          <w:sz w:val="24"/>
          <w:szCs w:val="24"/>
        </w:rPr>
        <w:t xml:space="preserve"> soon</w:t>
      </w:r>
      <w:r w:rsidR="004C7288">
        <w:rPr>
          <w:rFonts w:ascii="Arial" w:hAnsi="Arial" w:cs="Arial"/>
          <w:sz w:val="24"/>
          <w:szCs w:val="24"/>
        </w:rPr>
        <w:t xml:space="preserve"> stopped breathing.  CPR was commenced by par</w:t>
      </w:r>
      <w:r w:rsidR="00526A78">
        <w:rPr>
          <w:rFonts w:ascii="Arial" w:hAnsi="Arial" w:cs="Arial"/>
          <w:sz w:val="24"/>
          <w:szCs w:val="24"/>
        </w:rPr>
        <w:t>amedics</w:t>
      </w:r>
      <w:r w:rsidR="004C7288">
        <w:rPr>
          <w:rFonts w:ascii="Arial" w:hAnsi="Arial" w:cs="Arial"/>
          <w:sz w:val="24"/>
          <w:szCs w:val="24"/>
        </w:rPr>
        <w:t>.  The Complainant was admitted to hospital in critical condition.  The SIU was notified but did not invoke their mandate, deeming the matter non-jurisdictional.</w:t>
      </w:r>
      <w:r w:rsidR="00017505">
        <w:rPr>
          <w:rFonts w:ascii="Arial" w:hAnsi="Arial" w:cs="Arial"/>
          <w:sz w:val="24"/>
          <w:szCs w:val="24"/>
        </w:rPr>
        <w:t xml:space="preserve"> </w:t>
      </w:r>
    </w:p>
    <w:p w14:paraId="26882F53" w14:textId="1850D42B" w:rsidR="00D02303" w:rsidRPr="00882766" w:rsidRDefault="00526A78" w:rsidP="00D02303">
      <w:pPr>
        <w:pStyle w:val="ListParagraph"/>
        <w:numPr>
          <w:ilvl w:val="0"/>
          <w:numId w:val="3"/>
        </w:numPr>
        <w:spacing w:after="240" w:line="240" w:lineRule="auto"/>
        <w:ind w:left="360"/>
        <w:contextualSpacing w:val="0"/>
        <w:rPr>
          <w:rFonts w:ascii="Arial" w:hAnsi="Arial" w:cs="Arial"/>
          <w:sz w:val="24"/>
          <w:szCs w:val="24"/>
        </w:rPr>
      </w:pPr>
      <w:r>
        <w:rPr>
          <w:rFonts w:ascii="Arial" w:hAnsi="Arial" w:cs="Arial"/>
          <w:sz w:val="24"/>
          <w:szCs w:val="24"/>
        </w:rPr>
        <w:t>On July 10, 2024, the Complainant died in hospital.  The Hamilton Police Professional Standards Branch were made aware on July 11, 2024.  The SIU were</w:t>
      </w:r>
      <w:r w:rsidR="009B7BC7">
        <w:rPr>
          <w:rFonts w:ascii="Arial" w:hAnsi="Arial" w:cs="Arial"/>
          <w:sz w:val="24"/>
          <w:szCs w:val="24"/>
        </w:rPr>
        <w:t xml:space="preserve"> again</w:t>
      </w:r>
      <w:r>
        <w:rPr>
          <w:rFonts w:ascii="Arial" w:hAnsi="Arial" w:cs="Arial"/>
          <w:sz w:val="24"/>
          <w:szCs w:val="24"/>
        </w:rPr>
        <w:t xml:space="preserve"> contacted but did not invoke, still deeming the matter non-jurisdictional.  A Regional Coroner classified the death as an “in custody death”.  The SIU were contacted a third time</w:t>
      </w:r>
      <w:r w:rsidR="00214942">
        <w:rPr>
          <w:rFonts w:ascii="Arial" w:hAnsi="Arial" w:cs="Arial"/>
          <w:sz w:val="24"/>
          <w:szCs w:val="24"/>
        </w:rPr>
        <w:t xml:space="preserve"> and made aware of this classification</w:t>
      </w:r>
      <w:r>
        <w:rPr>
          <w:rFonts w:ascii="Arial" w:hAnsi="Arial" w:cs="Arial"/>
          <w:sz w:val="24"/>
          <w:szCs w:val="24"/>
        </w:rPr>
        <w:t xml:space="preserve">, </w:t>
      </w:r>
      <w:r w:rsidR="00214942">
        <w:rPr>
          <w:rFonts w:ascii="Arial" w:hAnsi="Arial" w:cs="Arial"/>
          <w:sz w:val="24"/>
          <w:szCs w:val="24"/>
        </w:rPr>
        <w:t xml:space="preserve">they </w:t>
      </w:r>
      <w:r>
        <w:rPr>
          <w:rFonts w:ascii="Arial" w:hAnsi="Arial" w:cs="Arial"/>
          <w:sz w:val="24"/>
          <w:szCs w:val="24"/>
        </w:rPr>
        <w:t>invoked their mandate and commenced an investigation</w:t>
      </w:r>
      <w:r w:rsidR="009A00AE">
        <w:rPr>
          <w:rFonts w:ascii="Arial" w:hAnsi="Arial" w:cs="Arial"/>
          <w:sz w:val="24"/>
          <w:szCs w:val="24"/>
        </w:rPr>
        <w:t>.</w:t>
      </w:r>
      <w:r w:rsidR="00B52CB3">
        <w:rPr>
          <w:rFonts w:ascii="Arial" w:hAnsi="Arial" w:cs="Arial"/>
          <w:sz w:val="24"/>
          <w:szCs w:val="24"/>
        </w:rPr>
        <w:t xml:space="preserve"> </w:t>
      </w:r>
    </w:p>
    <w:p w14:paraId="48D763B6" w14:textId="58B25CFA" w:rsidR="00FD0480" w:rsidRPr="009A00AE" w:rsidRDefault="00882766" w:rsidP="009A00AE">
      <w:pPr>
        <w:pStyle w:val="ListParagraph"/>
        <w:numPr>
          <w:ilvl w:val="0"/>
          <w:numId w:val="5"/>
        </w:numPr>
        <w:spacing w:after="0"/>
        <w:ind w:left="360"/>
        <w:rPr>
          <w:rFonts w:ascii="Arial" w:hAnsi="Arial"/>
          <w:sz w:val="24"/>
          <w:szCs w:val="23"/>
          <w:lang w:val="en-CA"/>
        </w:rPr>
      </w:pPr>
      <w:r w:rsidRPr="00882766">
        <w:rPr>
          <w:rFonts w:ascii="Arial" w:hAnsi="Arial"/>
          <w:sz w:val="24"/>
          <w:szCs w:val="23"/>
        </w:rPr>
        <w:t xml:space="preserve">In the report prepared by the SIU Director Joseph Martino, he stated </w:t>
      </w:r>
      <w:r w:rsidR="003C18C5">
        <w:rPr>
          <w:rFonts w:ascii="Arial" w:hAnsi="Arial"/>
          <w:sz w:val="24"/>
          <w:szCs w:val="23"/>
        </w:rPr>
        <w:t>“</w:t>
      </w:r>
      <w:r w:rsidRPr="00882766">
        <w:rPr>
          <w:rFonts w:ascii="Arial" w:hAnsi="Arial"/>
          <w:sz w:val="24"/>
          <w:szCs w:val="23"/>
          <w:lang w:val="en-CA"/>
        </w:rPr>
        <w:t xml:space="preserve">The subject officials were lawfully placed and in the execution of their duties through the series of events culminating in the Complainant’s loss of vital signs on July 8, 2024. Following CW #1’s 911 call for help in relation to the Complainant, and the subsequent call by paramedics seeking police assistance, the officers were within their rights in doing what they reasonably could to protect and preserve the Complainant’s life – an officer’s foremost obligation. </w:t>
      </w:r>
      <w:r w:rsidRPr="009A00AE">
        <w:rPr>
          <w:rFonts w:ascii="Arial" w:hAnsi="Arial"/>
          <w:sz w:val="24"/>
          <w:szCs w:val="23"/>
          <w:lang w:val="en-CA"/>
        </w:rPr>
        <w:t>In the discharge of that duty, I am satisfied that the subject officials comported themselves with due care and regard for the Complainant’s health and wellbeing.”</w:t>
      </w:r>
    </w:p>
    <w:p w14:paraId="0768C241" w14:textId="77777777" w:rsidR="003C18C5" w:rsidRPr="003C18C5" w:rsidRDefault="003C18C5" w:rsidP="001E74ED">
      <w:pPr>
        <w:pStyle w:val="ListParagraph"/>
        <w:spacing w:after="0"/>
        <w:ind w:left="0"/>
        <w:rPr>
          <w:rFonts w:ascii="Arial" w:hAnsi="Arial" w:cs="Arial"/>
          <w:sz w:val="24"/>
          <w:szCs w:val="24"/>
        </w:rPr>
      </w:pPr>
    </w:p>
    <w:p w14:paraId="13E3AADA" w14:textId="094CE4F1" w:rsidR="00FD0480" w:rsidRPr="00FD0480" w:rsidRDefault="00FD0480" w:rsidP="001E74ED">
      <w:pPr>
        <w:pStyle w:val="ListParagraph"/>
        <w:numPr>
          <w:ilvl w:val="0"/>
          <w:numId w:val="5"/>
        </w:numPr>
        <w:spacing w:after="0"/>
        <w:ind w:left="360"/>
        <w:rPr>
          <w:rFonts w:ascii="Arial" w:hAnsi="Arial" w:cs="Arial"/>
          <w:sz w:val="24"/>
          <w:szCs w:val="24"/>
        </w:rPr>
      </w:pPr>
      <w:r>
        <w:rPr>
          <w:rFonts w:ascii="Arial" w:hAnsi="Arial" w:cs="Arial"/>
          <w:sz w:val="24"/>
          <w:szCs w:val="24"/>
        </w:rPr>
        <w:t>The SIU report also addresses the cause of death “</w:t>
      </w:r>
      <w:r w:rsidRPr="00FD0480">
        <w:rPr>
          <w:rFonts w:ascii="Arial" w:hAnsi="Arial" w:cs="Arial"/>
          <w:sz w:val="24"/>
          <w:szCs w:val="24"/>
          <w:lang w:val="en-CA"/>
        </w:rPr>
        <w:t>The pathologist at autopsy attributed the Complainant’s death to “complications of cocaine toxicity in a man with hypertensive heart disease, atherosclerotic coronary artery disease and physical activity”.</w:t>
      </w:r>
      <w:r w:rsidR="00214D11">
        <w:rPr>
          <w:rFonts w:ascii="Arial" w:hAnsi="Arial" w:cs="Arial"/>
          <w:sz w:val="24"/>
          <w:szCs w:val="24"/>
          <w:lang w:val="en-CA"/>
        </w:rPr>
        <w:t>”</w:t>
      </w:r>
    </w:p>
    <w:p w14:paraId="1326628B" w14:textId="77777777" w:rsidR="00FD0480" w:rsidRDefault="00FD0480" w:rsidP="00FD0480">
      <w:pPr>
        <w:pStyle w:val="ListParagraph"/>
        <w:spacing w:after="0"/>
        <w:ind w:left="360"/>
        <w:rPr>
          <w:rFonts w:ascii="Arial" w:hAnsi="Arial" w:cs="Arial"/>
          <w:sz w:val="24"/>
          <w:szCs w:val="24"/>
        </w:rPr>
      </w:pPr>
    </w:p>
    <w:p w14:paraId="7809EB43" w14:textId="35799205" w:rsidR="004B75E5" w:rsidRPr="003C18C5" w:rsidRDefault="004B75E5" w:rsidP="001E74ED">
      <w:pPr>
        <w:pStyle w:val="ListParagraph"/>
        <w:numPr>
          <w:ilvl w:val="0"/>
          <w:numId w:val="5"/>
        </w:numPr>
        <w:spacing w:after="0"/>
        <w:ind w:left="360"/>
        <w:rPr>
          <w:rFonts w:ascii="Arial" w:hAnsi="Arial" w:cs="Arial"/>
          <w:sz w:val="24"/>
          <w:szCs w:val="24"/>
        </w:rPr>
      </w:pPr>
      <w:r w:rsidRPr="003C18C5">
        <w:rPr>
          <w:rFonts w:ascii="Arial" w:hAnsi="Arial" w:cs="Arial"/>
          <w:sz w:val="24"/>
          <w:szCs w:val="24"/>
        </w:rPr>
        <w:t>A</w:t>
      </w:r>
      <w:r w:rsidR="00674DA6">
        <w:rPr>
          <w:rFonts w:ascii="Arial" w:hAnsi="Arial" w:cs="Arial"/>
          <w:sz w:val="24"/>
          <w:szCs w:val="24"/>
        </w:rPr>
        <w:t>s provincially mandated, a</w:t>
      </w:r>
      <w:r w:rsidRPr="003C18C5">
        <w:rPr>
          <w:rFonts w:ascii="Arial" w:hAnsi="Arial" w:cs="Arial"/>
          <w:sz w:val="24"/>
          <w:szCs w:val="24"/>
        </w:rPr>
        <w:t xml:space="preserve"> comprehensive </w:t>
      </w:r>
      <w:r w:rsidR="00674DA6" w:rsidRPr="003C18C5">
        <w:rPr>
          <w:rFonts w:ascii="Arial" w:hAnsi="Arial" w:cs="Arial"/>
          <w:sz w:val="24"/>
          <w:szCs w:val="24"/>
        </w:rPr>
        <w:t>i</w:t>
      </w:r>
      <w:r w:rsidR="00674DA6">
        <w:rPr>
          <w:rFonts w:ascii="Arial" w:hAnsi="Arial" w:cs="Arial"/>
          <w:sz w:val="24"/>
          <w:szCs w:val="24"/>
        </w:rPr>
        <w:t>nvestigation was undertaken</w:t>
      </w:r>
      <w:r w:rsidRPr="003C18C5">
        <w:rPr>
          <w:rFonts w:ascii="Arial" w:hAnsi="Arial" w:cs="Arial"/>
          <w:sz w:val="24"/>
          <w:szCs w:val="24"/>
        </w:rPr>
        <w:t xml:space="preserve"> of the events and information gathered in relation to the complaint</w:t>
      </w:r>
      <w:r w:rsidR="00674DA6">
        <w:rPr>
          <w:rFonts w:ascii="Arial" w:hAnsi="Arial" w:cs="Arial"/>
          <w:sz w:val="24"/>
          <w:szCs w:val="24"/>
        </w:rPr>
        <w:t>.  It was</w:t>
      </w:r>
      <w:r w:rsidRPr="003C18C5">
        <w:rPr>
          <w:rFonts w:ascii="Arial" w:hAnsi="Arial" w:cs="Arial"/>
          <w:sz w:val="24"/>
          <w:szCs w:val="24"/>
        </w:rPr>
        <w:t xml:space="preserve"> determined that there were no breaches of Hamilton Police Service Policies and Procedures</w:t>
      </w:r>
      <w:r w:rsidR="00674DA6">
        <w:rPr>
          <w:rFonts w:ascii="Arial" w:hAnsi="Arial" w:cs="Arial"/>
          <w:sz w:val="24"/>
          <w:szCs w:val="24"/>
        </w:rPr>
        <w:t xml:space="preserve"> and no misconduct on the part of the </w:t>
      </w:r>
      <w:r w:rsidR="001E74ED">
        <w:rPr>
          <w:rFonts w:ascii="Arial" w:hAnsi="Arial" w:cs="Arial"/>
          <w:sz w:val="24"/>
          <w:szCs w:val="24"/>
        </w:rPr>
        <w:t>Officers.</w:t>
      </w:r>
      <w:r w:rsidRPr="003C18C5">
        <w:rPr>
          <w:rFonts w:ascii="Arial" w:hAnsi="Arial" w:cs="Arial"/>
          <w:sz w:val="24"/>
          <w:szCs w:val="24"/>
        </w:rPr>
        <w:t xml:space="preserve">  </w:t>
      </w:r>
    </w:p>
    <w:p w14:paraId="53D90AA5" w14:textId="210C6638" w:rsidR="0014006E" w:rsidRDefault="0014006E" w:rsidP="0037765B">
      <w:pPr>
        <w:spacing w:after="0"/>
        <w:jc w:val="both"/>
        <w:rPr>
          <w:rFonts w:ascii="Arial" w:hAnsi="Arial" w:cs="Arial"/>
          <w:sz w:val="24"/>
        </w:rPr>
      </w:pPr>
    </w:p>
    <w:p w14:paraId="7D4EE17A" w14:textId="77777777" w:rsidR="00993A76" w:rsidRPr="00F51BED" w:rsidRDefault="00993A76" w:rsidP="00993A76">
      <w:pPr>
        <w:jc w:val="both"/>
        <w:rPr>
          <w:rFonts w:ascii="Arial" w:hAnsi="Arial" w:cs="Arial"/>
          <w:sz w:val="24"/>
          <w:szCs w:val="24"/>
        </w:rPr>
      </w:pPr>
      <w:r w:rsidRPr="00F51BED">
        <w:rPr>
          <w:rFonts w:ascii="Arial" w:hAnsi="Arial" w:cs="Arial"/>
          <w:sz w:val="24"/>
          <w:szCs w:val="24"/>
        </w:rPr>
        <w:t>FB/W. Mason</w:t>
      </w:r>
    </w:p>
    <w:p w14:paraId="562D0C44" w14:textId="77777777" w:rsidR="00993A76" w:rsidRPr="00F51BED" w:rsidRDefault="00993A76" w:rsidP="00993A76">
      <w:pPr>
        <w:spacing w:after="0"/>
        <w:jc w:val="both"/>
        <w:rPr>
          <w:rFonts w:ascii="Arial" w:hAnsi="Arial" w:cs="Arial"/>
          <w:sz w:val="24"/>
          <w:szCs w:val="24"/>
        </w:rPr>
      </w:pPr>
      <w:proofErr w:type="gramStart"/>
      <w:r w:rsidRPr="00F51BED">
        <w:rPr>
          <w:rFonts w:ascii="Arial" w:hAnsi="Arial" w:cs="Arial"/>
          <w:sz w:val="24"/>
          <w:szCs w:val="24"/>
        </w:rPr>
        <w:t>c</w:t>
      </w:r>
      <w:proofErr w:type="gramEnd"/>
      <w:r w:rsidRPr="00F51BED">
        <w:rPr>
          <w:rFonts w:ascii="Arial" w:hAnsi="Arial" w:cs="Arial"/>
          <w:sz w:val="24"/>
          <w:szCs w:val="24"/>
        </w:rPr>
        <w:t xml:space="preserve">: </w:t>
      </w:r>
      <w:r w:rsidRPr="00F51BED">
        <w:rPr>
          <w:rFonts w:ascii="Arial" w:hAnsi="Arial" w:cs="Arial"/>
          <w:sz w:val="24"/>
          <w:szCs w:val="24"/>
        </w:rPr>
        <w:tab/>
        <w:t>Paul Hamilton, Deputy Chief – Support</w:t>
      </w:r>
    </w:p>
    <w:p w14:paraId="193C6BCA" w14:textId="77777777" w:rsidR="00993A76" w:rsidRPr="00F51BED" w:rsidRDefault="00993A76" w:rsidP="00993A76">
      <w:pPr>
        <w:spacing w:after="0"/>
        <w:jc w:val="both"/>
        <w:rPr>
          <w:rFonts w:ascii="Arial" w:hAnsi="Arial" w:cs="Arial"/>
          <w:sz w:val="24"/>
          <w:szCs w:val="24"/>
        </w:rPr>
      </w:pPr>
      <w:r w:rsidRPr="00F51BED">
        <w:rPr>
          <w:rFonts w:ascii="Arial" w:hAnsi="Arial" w:cs="Arial"/>
          <w:sz w:val="24"/>
          <w:szCs w:val="24"/>
        </w:rPr>
        <w:tab/>
        <w:t>Will Mason, Superintendent – Professional Development Division</w:t>
      </w:r>
    </w:p>
    <w:p w14:paraId="5AD469F4" w14:textId="6F72840A" w:rsidR="0037765B" w:rsidRPr="009A00AE" w:rsidRDefault="00993A76" w:rsidP="009A00AE">
      <w:pPr>
        <w:spacing w:after="0"/>
        <w:ind w:firstLine="720"/>
        <w:jc w:val="both"/>
        <w:rPr>
          <w:rFonts w:ascii="Arial" w:hAnsi="Arial" w:cs="Arial"/>
          <w:sz w:val="24"/>
          <w:szCs w:val="24"/>
        </w:rPr>
      </w:pPr>
      <w:r w:rsidRPr="00F51BED">
        <w:rPr>
          <w:rFonts w:ascii="Arial" w:hAnsi="Arial" w:cs="Arial"/>
          <w:sz w:val="24"/>
          <w:szCs w:val="24"/>
        </w:rPr>
        <w:t xml:space="preserve">Marco </w:t>
      </w:r>
      <w:proofErr w:type="spellStart"/>
      <w:r w:rsidRPr="00F51BED">
        <w:rPr>
          <w:rFonts w:ascii="Arial" w:hAnsi="Arial" w:cs="Arial"/>
          <w:sz w:val="24"/>
          <w:szCs w:val="24"/>
        </w:rPr>
        <w:t>Visentini</w:t>
      </w:r>
      <w:proofErr w:type="spellEnd"/>
      <w:r w:rsidRPr="00F51BED">
        <w:rPr>
          <w:rFonts w:ascii="Arial" w:hAnsi="Arial" w:cs="Arial"/>
          <w:sz w:val="24"/>
          <w:szCs w:val="24"/>
        </w:rPr>
        <w:t>, Legal Counsel</w:t>
      </w:r>
    </w:p>
    <w:p w14:paraId="7FED53B0" w14:textId="0E07D971" w:rsidR="00425BF0" w:rsidRPr="00E730D6" w:rsidRDefault="00425BF0" w:rsidP="0037765B">
      <w:pPr>
        <w:jc w:val="both"/>
        <w:rPr>
          <w:rFonts w:ascii="Arial" w:hAnsi="Arial" w:cs="Arial"/>
          <w:sz w:val="24"/>
        </w:rPr>
      </w:pPr>
    </w:p>
    <w:sectPr w:rsidR="00425BF0" w:rsidRPr="00E730D6"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BE3A" w14:textId="77777777" w:rsidR="0086479C" w:rsidRDefault="0086479C" w:rsidP="009009AD">
      <w:pPr>
        <w:spacing w:after="0" w:line="240" w:lineRule="auto"/>
      </w:pPr>
      <w:r>
        <w:separator/>
      </w:r>
    </w:p>
  </w:endnote>
  <w:endnote w:type="continuationSeparator" w:id="0">
    <w:p w14:paraId="0F729634" w14:textId="77777777" w:rsidR="0086479C" w:rsidRDefault="0086479C"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0F12"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DC1D4B9" wp14:editId="200A93D4">
              <wp:extent cx="6355080" cy="0"/>
              <wp:effectExtent l="0" t="0" r="0" b="0"/>
              <wp:docPr id="1" name="Straight Connector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00DEC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" strokecolor="black [3200]" strokeweight="1.5pt">
              <v:stroke joinstyle="miter"/>
              <w10:anchorlock/>
            </v:line>
          </w:pict>
        </mc:Fallback>
      </mc:AlternateContent>
    </w:r>
  </w:p>
  <w:p w14:paraId="7F8F0C90" w14:textId="4F751A0F"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r w:rsidR="00CC5270">
      <w:rPr>
        <w:rFonts w:ascii="Arial" w:hAnsi="Arial" w:cs="Arial"/>
        <w:color w:val="232323"/>
        <w:sz w:val="18"/>
        <w:szCs w:val="21"/>
        <w:lang w:val="en"/>
      </w:rPr>
      <w:t xml:space="preserve"> </w:t>
    </w:r>
  </w:p>
  <w:p w14:paraId="2DE1E72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4E6D79F1" w14:textId="77777777"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58EBE3EC"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6C93B89D"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92A3"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0D5DE97" wp14:editId="37C937FF">
              <wp:extent cx="6134100" cy="0"/>
              <wp:effectExtent l="0" t="0" r="0" b="0"/>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FB7C5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" strokecolor="windowText" strokeweight="1.5pt">
              <v:stroke joinstyle="miter"/>
              <w10:anchorlock/>
            </v:line>
          </w:pict>
        </mc:Fallback>
      </mc:AlternateContent>
    </w:r>
  </w:p>
  <w:p w14:paraId="568D77B7"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C36951B"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2502D652"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78E4D363"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5E4A" w14:textId="77777777" w:rsidR="0086479C" w:rsidRDefault="0086479C" w:rsidP="009009AD">
      <w:pPr>
        <w:spacing w:after="0" w:line="240" w:lineRule="auto"/>
      </w:pPr>
      <w:r>
        <w:separator/>
      </w:r>
    </w:p>
  </w:footnote>
  <w:footnote w:type="continuationSeparator" w:id="0">
    <w:p w14:paraId="73E9701A" w14:textId="77777777" w:rsidR="0086479C" w:rsidRDefault="0086479C"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28982" w14:textId="52BCA0CB" w:rsidR="00F82B02" w:rsidRDefault="00CC5270"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25-</w:t>
    </w:r>
    <w:r w:rsidR="003B7350">
      <w:rPr>
        <w:rFonts w:ascii="Arial" w:hAnsi="Arial" w:cs="Arial"/>
        <w:b/>
        <w:sz w:val="24"/>
        <w:szCs w:val="24"/>
      </w:rPr>
      <w:t>043</w:t>
    </w:r>
    <w:r w:rsidR="00125A88">
      <w:rPr>
        <w:rFonts w:ascii="Arial" w:hAnsi="Arial" w:cs="Arial"/>
        <w:b/>
        <w:sz w:val="24"/>
        <w:szCs w:val="24"/>
      </w:rPr>
      <w:t xml:space="preserve">                                     </w:t>
    </w:r>
    <w:r w:rsidR="00125A88" w:rsidRPr="00125A88">
      <w:rPr>
        <w:rFonts w:ascii="Arial" w:hAnsi="Arial" w:cs="Arial"/>
        <w:b/>
        <w:sz w:val="24"/>
        <w:szCs w:val="24"/>
      </w:rPr>
      <w:t xml:space="preserve"> 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806965">
      <w:rPr>
        <w:rFonts w:ascii="Arial" w:hAnsi="Arial" w:cs="Arial"/>
        <w:b/>
        <w:bCs/>
        <w:noProof/>
        <w:sz w:val="24"/>
        <w:szCs w:val="24"/>
      </w:rPr>
      <w:t>2</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806965">
      <w:rPr>
        <w:rFonts w:ascii="Arial" w:hAnsi="Arial" w:cs="Arial"/>
        <w:b/>
        <w:bCs/>
        <w:noProof/>
        <w:sz w:val="24"/>
        <w:szCs w:val="24"/>
      </w:rPr>
      <w:t>2</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13FAE54C" wp14:editId="1B3B51E7">
              <wp:extent cx="6121400" cy="0"/>
              <wp:effectExtent l="0" t="0" r="0" b="0"/>
              <wp:docPr id="4" name="Straight Connector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EDC67"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0C22"/>
    <w:multiLevelType w:val="hybridMultilevel"/>
    <w:tmpl w:val="3C168BF0"/>
    <w:lvl w:ilvl="0" w:tplc="7076C38A">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2C3C4347"/>
    <w:multiLevelType w:val="hybridMultilevel"/>
    <w:tmpl w:val="9F54F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F65DD"/>
    <w:multiLevelType w:val="hybridMultilevel"/>
    <w:tmpl w:val="4CBE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3D6E9F"/>
    <w:multiLevelType w:val="hybridMultilevel"/>
    <w:tmpl w:val="CAA0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7F4114"/>
    <w:multiLevelType w:val="hybridMultilevel"/>
    <w:tmpl w:val="992A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312FD"/>
    <w:multiLevelType w:val="hybridMultilevel"/>
    <w:tmpl w:val="4824F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17505"/>
    <w:rsid w:val="00046CFC"/>
    <w:rsid w:val="000515AD"/>
    <w:rsid w:val="000542F6"/>
    <w:rsid w:val="00056A99"/>
    <w:rsid w:val="00064D65"/>
    <w:rsid w:val="00081C88"/>
    <w:rsid w:val="00081DB6"/>
    <w:rsid w:val="00091802"/>
    <w:rsid w:val="000919B5"/>
    <w:rsid w:val="00095327"/>
    <w:rsid w:val="0010367F"/>
    <w:rsid w:val="00112E88"/>
    <w:rsid w:val="00125A88"/>
    <w:rsid w:val="00135EA7"/>
    <w:rsid w:val="0014006E"/>
    <w:rsid w:val="00175A4B"/>
    <w:rsid w:val="001853D9"/>
    <w:rsid w:val="001B3023"/>
    <w:rsid w:val="001C42F7"/>
    <w:rsid w:val="001E1CA7"/>
    <w:rsid w:val="001E1FB2"/>
    <w:rsid w:val="001E74ED"/>
    <w:rsid w:val="001F4354"/>
    <w:rsid w:val="0021182E"/>
    <w:rsid w:val="00214942"/>
    <w:rsid w:val="00214D11"/>
    <w:rsid w:val="00223FB8"/>
    <w:rsid w:val="00290E1D"/>
    <w:rsid w:val="002A6927"/>
    <w:rsid w:val="002B01BB"/>
    <w:rsid w:val="002C143D"/>
    <w:rsid w:val="002C4CFC"/>
    <w:rsid w:val="002D6B67"/>
    <w:rsid w:val="002E73EF"/>
    <w:rsid w:val="00310AF6"/>
    <w:rsid w:val="00317869"/>
    <w:rsid w:val="0034315C"/>
    <w:rsid w:val="0034372C"/>
    <w:rsid w:val="00353F98"/>
    <w:rsid w:val="0037765B"/>
    <w:rsid w:val="00396BEF"/>
    <w:rsid w:val="003A1288"/>
    <w:rsid w:val="003A403A"/>
    <w:rsid w:val="003A7BCD"/>
    <w:rsid w:val="003B224C"/>
    <w:rsid w:val="003B7350"/>
    <w:rsid w:val="003C18C5"/>
    <w:rsid w:val="003C6EAA"/>
    <w:rsid w:val="003D2DB0"/>
    <w:rsid w:val="003D4983"/>
    <w:rsid w:val="003D71C7"/>
    <w:rsid w:val="003E4DD4"/>
    <w:rsid w:val="003E6F4B"/>
    <w:rsid w:val="00406792"/>
    <w:rsid w:val="00425BF0"/>
    <w:rsid w:val="00426A8F"/>
    <w:rsid w:val="00433E4C"/>
    <w:rsid w:val="00446711"/>
    <w:rsid w:val="00494A02"/>
    <w:rsid w:val="004A4034"/>
    <w:rsid w:val="004B0A88"/>
    <w:rsid w:val="004B3EB7"/>
    <w:rsid w:val="004B75E5"/>
    <w:rsid w:val="004C0ACD"/>
    <w:rsid w:val="004C7288"/>
    <w:rsid w:val="005032A4"/>
    <w:rsid w:val="00526A78"/>
    <w:rsid w:val="005442D6"/>
    <w:rsid w:val="005834D8"/>
    <w:rsid w:val="005F6709"/>
    <w:rsid w:val="006070A6"/>
    <w:rsid w:val="006145DA"/>
    <w:rsid w:val="00633F1E"/>
    <w:rsid w:val="00672497"/>
    <w:rsid w:val="00674DA6"/>
    <w:rsid w:val="00680718"/>
    <w:rsid w:val="00686831"/>
    <w:rsid w:val="006A0FCD"/>
    <w:rsid w:val="006B1388"/>
    <w:rsid w:val="006C14FE"/>
    <w:rsid w:val="006D1269"/>
    <w:rsid w:val="006E7F7B"/>
    <w:rsid w:val="00700F1A"/>
    <w:rsid w:val="00702B0D"/>
    <w:rsid w:val="00734DA8"/>
    <w:rsid w:val="00743533"/>
    <w:rsid w:val="00743FDC"/>
    <w:rsid w:val="007A3190"/>
    <w:rsid w:val="007D026A"/>
    <w:rsid w:val="007D5F95"/>
    <w:rsid w:val="007E2254"/>
    <w:rsid w:val="007F1181"/>
    <w:rsid w:val="007F369E"/>
    <w:rsid w:val="00806965"/>
    <w:rsid w:val="0081757A"/>
    <w:rsid w:val="0082534A"/>
    <w:rsid w:val="00847A53"/>
    <w:rsid w:val="00856E52"/>
    <w:rsid w:val="00857B21"/>
    <w:rsid w:val="008624D5"/>
    <w:rsid w:val="0086479C"/>
    <w:rsid w:val="0087330E"/>
    <w:rsid w:val="008808A9"/>
    <w:rsid w:val="00882766"/>
    <w:rsid w:val="0089510B"/>
    <w:rsid w:val="008B2E09"/>
    <w:rsid w:val="008C6342"/>
    <w:rsid w:val="009009AD"/>
    <w:rsid w:val="00935F11"/>
    <w:rsid w:val="00962E0B"/>
    <w:rsid w:val="0096553B"/>
    <w:rsid w:val="009811C3"/>
    <w:rsid w:val="00993A76"/>
    <w:rsid w:val="009A00AE"/>
    <w:rsid w:val="009A498A"/>
    <w:rsid w:val="009B7BC7"/>
    <w:rsid w:val="009E5268"/>
    <w:rsid w:val="009F0FF4"/>
    <w:rsid w:val="009F222D"/>
    <w:rsid w:val="009F7EA2"/>
    <w:rsid w:val="00A04B37"/>
    <w:rsid w:val="00A30C67"/>
    <w:rsid w:val="00A5770C"/>
    <w:rsid w:val="00A625F0"/>
    <w:rsid w:val="00A655F3"/>
    <w:rsid w:val="00A72BE4"/>
    <w:rsid w:val="00A9133B"/>
    <w:rsid w:val="00AB2693"/>
    <w:rsid w:val="00AD16CC"/>
    <w:rsid w:val="00B014BD"/>
    <w:rsid w:val="00B100EC"/>
    <w:rsid w:val="00B13523"/>
    <w:rsid w:val="00B52CB3"/>
    <w:rsid w:val="00B67F43"/>
    <w:rsid w:val="00B85FB7"/>
    <w:rsid w:val="00BB2577"/>
    <w:rsid w:val="00BC70CF"/>
    <w:rsid w:val="00C04492"/>
    <w:rsid w:val="00C12AD0"/>
    <w:rsid w:val="00C53A20"/>
    <w:rsid w:val="00C6363C"/>
    <w:rsid w:val="00C71B4C"/>
    <w:rsid w:val="00C7798C"/>
    <w:rsid w:val="00C92903"/>
    <w:rsid w:val="00CB23EB"/>
    <w:rsid w:val="00CC5270"/>
    <w:rsid w:val="00CE676D"/>
    <w:rsid w:val="00CF41BE"/>
    <w:rsid w:val="00CF7B1E"/>
    <w:rsid w:val="00D02303"/>
    <w:rsid w:val="00D34C45"/>
    <w:rsid w:val="00D44413"/>
    <w:rsid w:val="00D55ACA"/>
    <w:rsid w:val="00D63720"/>
    <w:rsid w:val="00DB0BED"/>
    <w:rsid w:val="00DC4758"/>
    <w:rsid w:val="00E17807"/>
    <w:rsid w:val="00E27B87"/>
    <w:rsid w:val="00E31251"/>
    <w:rsid w:val="00E6326B"/>
    <w:rsid w:val="00E63ADC"/>
    <w:rsid w:val="00E730D6"/>
    <w:rsid w:val="00E86BB5"/>
    <w:rsid w:val="00E927CB"/>
    <w:rsid w:val="00EB4BDB"/>
    <w:rsid w:val="00F043F0"/>
    <w:rsid w:val="00F10A12"/>
    <w:rsid w:val="00F31910"/>
    <w:rsid w:val="00F409BF"/>
    <w:rsid w:val="00F51193"/>
    <w:rsid w:val="00F6578E"/>
    <w:rsid w:val="00F662D1"/>
    <w:rsid w:val="00F665D1"/>
    <w:rsid w:val="00F82B02"/>
    <w:rsid w:val="00F82C33"/>
    <w:rsid w:val="00F93890"/>
    <w:rsid w:val="00F94FD0"/>
    <w:rsid w:val="00FB759F"/>
    <w:rsid w:val="00FC091F"/>
    <w:rsid w:val="00FD0480"/>
    <w:rsid w:val="00FD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46A0"/>
  <w15:docId w15:val="{A3982B78-68CD-48C6-A7C7-E578308A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 w:type="paragraph" w:customStyle="1" w:styleId="Default">
    <w:name w:val="Default"/>
    <w:rsid w:val="00D0230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772973">
      <w:bodyDiv w:val="1"/>
      <w:marLeft w:val="0"/>
      <w:marRight w:val="0"/>
      <w:marTop w:val="0"/>
      <w:marBottom w:val="0"/>
      <w:divBdr>
        <w:top w:val="none" w:sz="0" w:space="0" w:color="auto"/>
        <w:left w:val="none" w:sz="0" w:space="0" w:color="auto"/>
        <w:bottom w:val="none" w:sz="0" w:space="0" w:color="auto"/>
        <w:right w:val="none" w:sz="0" w:space="0" w:color="auto"/>
      </w:divBdr>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6DB2-0DA8-4605-BCFC-E7919E69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Kirsten</dc:creator>
  <cp:lastModifiedBy>Murzin_Tami</cp:lastModifiedBy>
  <cp:revision>4</cp:revision>
  <cp:lastPrinted>2025-04-29T18:08:00Z</cp:lastPrinted>
  <dcterms:created xsi:type="dcterms:W3CDTF">2025-06-13T12:14:00Z</dcterms:created>
  <dcterms:modified xsi:type="dcterms:W3CDTF">2025-06-13T13:22:00Z</dcterms:modified>
</cp:coreProperties>
</file>